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391F56A" w:rsidR="007128D3" w:rsidRPr="00BE7B1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7B1A">
        <w:rPr>
          <w:b/>
          <w:bCs/>
        </w:rPr>
        <w:t>Komplexní pozemkové úpravy v </w:t>
      </w:r>
      <w:proofErr w:type="spellStart"/>
      <w:r w:rsidR="00BE7B1A">
        <w:rPr>
          <w:b/>
          <w:bCs/>
        </w:rPr>
        <w:t>k.ú</w:t>
      </w:r>
      <w:proofErr w:type="spellEnd"/>
      <w:r w:rsidR="00BE7B1A">
        <w:rPr>
          <w:b/>
          <w:bCs/>
        </w:rPr>
        <w:t xml:space="preserve">. </w:t>
      </w:r>
      <w:r w:rsidR="00842B8F">
        <w:rPr>
          <w:b/>
          <w:bCs/>
        </w:rPr>
        <w:t>Housko</w:t>
      </w:r>
    </w:p>
    <w:p w14:paraId="67422D51" w14:textId="1205C7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42B8F">
        <w:t xml:space="preserve">malého rozsahu </w:t>
      </w:r>
      <w:r w:rsidR="00F35B3A" w:rsidRPr="00F35B3A">
        <w:t xml:space="preserve">na </w:t>
      </w:r>
      <w:r w:rsidR="00BE7B1A">
        <w:t>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DBBBA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BE7B1A">
        <w:rPr>
          <w:highlight w:val="yellow"/>
        </w:rPr>
        <w:t xml:space="preserve">čl. </w:t>
      </w:r>
      <w:r w:rsidR="00BE7B1A" w:rsidRPr="00BE7B1A">
        <w:rPr>
          <w:highlight w:val="yellow"/>
        </w:rPr>
        <w:t>5.21</w:t>
      </w:r>
      <w:r w:rsidR="00636039" w:rsidRPr="00BE7B1A">
        <w:rPr>
          <w:highlight w:val="yellow"/>
        </w:rPr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4700626D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BE7B1A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EBCB4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42B8F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2B8F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1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C46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6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2021-06-03T06:49:00Z</dcterms:created>
  <dcterms:modified xsi:type="dcterms:W3CDTF">2021-06-03T06:49:00Z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